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0987" w14:textId="77777777" w:rsidR="009441C4" w:rsidRPr="000C394A" w:rsidRDefault="005C799B" w:rsidP="00C51AC0">
      <w:pPr>
        <w:pStyle w:val="BodyText"/>
        <w:ind w:right="14"/>
        <w:rPr>
          <w:rFonts w:ascii="Times New Roman"/>
          <w:sz w:val="5"/>
        </w:rPr>
      </w:pPr>
      <w:r w:rsidRPr="000C394A">
        <w:rPr>
          <w:rFonts w:ascii="Times New Roman"/>
          <w:noProof/>
          <w:sz w:val="52"/>
        </w:rPr>
        <w:drawing>
          <wp:anchor distT="0" distB="0" distL="114300" distR="114300" simplePos="0" relativeHeight="251658240" behindDoc="0" locked="0" layoutInCell="1" allowOverlap="1" wp14:anchorId="4B0D07E4" wp14:editId="31374013">
            <wp:simplePos x="0" y="0"/>
            <wp:positionH relativeFrom="column">
              <wp:posOffset>-165100</wp:posOffset>
            </wp:positionH>
            <wp:positionV relativeFrom="paragraph">
              <wp:posOffset>0</wp:posOffset>
            </wp:positionV>
            <wp:extent cx="3238500" cy="673735"/>
            <wp:effectExtent l="0" t="0" r="0" b="0"/>
            <wp:wrapSquare wrapText="bothSides"/>
            <wp:docPr id="2014971281" name="Picture 4"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71281" name="Picture 4" descr="A red letter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8500" cy="673735"/>
                    </a:xfrm>
                    <a:prstGeom prst="rect">
                      <a:avLst/>
                    </a:prstGeom>
                  </pic:spPr>
                </pic:pic>
              </a:graphicData>
            </a:graphic>
            <wp14:sizeRelH relativeFrom="page">
              <wp14:pctWidth>0</wp14:pctWidth>
            </wp14:sizeRelH>
            <wp14:sizeRelV relativeFrom="page">
              <wp14:pctHeight>0</wp14:pctHeight>
            </wp14:sizeRelV>
          </wp:anchor>
        </w:drawing>
      </w:r>
    </w:p>
    <w:p w14:paraId="57FA82F1" w14:textId="77777777" w:rsidR="009441C4" w:rsidRPr="000C394A" w:rsidRDefault="009441C4" w:rsidP="00C51AC0">
      <w:pPr>
        <w:pStyle w:val="BodyText"/>
        <w:ind w:right="14"/>
        <w:rPr>
          <w:rFonts w:ascii="Times New Roman"/>
          <w:sz w:val="52"/>
        </w:rPr>
      </w:pPr>
    </w:p>
    <w:p w14:paraId="407E3DFA" w14:textId="77777777" w:rsidR="005C799B" w:rsidRPr="000C394A" w:rsidRDefault="005C799B" w:rsidP="005C799B">
      <w:pPr>
        <w:pStyle w:val="Heading1"/>
        <w:ind w:left="0" w:firstLine="0"/>
      </w:pPr>
    </w:p>
    <w:p w14:paraId="461C8546" w14:textId="77777777" w:rsidR="009441C4" w:rsidRPr="00CA6F56" w:rsidRDefault="00403239" w:rsidP="005C799B">
      <w:pPr>
        <w:pStyle w:val="Heading1"/>
        <w:ind w:left="0" w:firstLine="0"/>
        <w:rPr>
          <w:sz w:val="22"/>
          <w:szCs w:val="22"/>
        </w:rPr>
      </w:pPr>
      <w:r w:rsidRPr="00CA6F56">
        <w:rPr>
          <w:sz w:val="22"/>
          <w:szCs w:val="22"/>
        </w:rPr>
        <w:t>MEDIA RELEASE</w:t>
      </w:r>
    </w:p>
    <w:p w14:paraId="4F31A605" w14:textId="77777777" w:rsidR="009441C4" w:rsidRPr="00CA6F56" w:rsidRDefault="00403239" w:rsidP="005C799B">
      <w:pPr>
        <w:pStyle w:val="BodyText"/>
        <w:rPr>
          <w:sz w:val="22"/>
          <w:szCs w:val="22"/>
        </w:rPr>
      </w:pPr>
      <w:r w:rsidRPr="00CA6F56">
        <w:rPr>
          <w:sz w:val="22"/>
          <w:szCs w:val="22"/>
        </w:rPr>
        <w:t>FOR IMMEDIATE RELEASE</w:t>
      </w:r>
    </w:p>
    <w:p w14:paraId="3EBAF49E" w14:textId="1DC562FA" w:rsidR="008C6573" w:rsidRPr="00CA6F56" w:rsidRDefault="000A70D2" w:rsidP="005C799B">
      <w:pPr>
        <w:pStyle w:val="BodyText"/>
        <w:rPr>
          <w:sz w:val="22"/>
          <w:szCs w:val="22"/>
        </w:rPr>
      </w:pPr>
      <w:r w:rsidRPr="00CA6F56">
        <w:rPr>
          <w:sz w:val="22"/>
          <w:szCs w:val="22"/>
        </w:rPr>
        <w:t>October 31, 2025</w:t>
      </w:r>
    </w:p>
    <w:p w14:paraId="25473355" w14:textId="77777777" w:rsidR="008C6573" w:rsidRPr="00CA6F56" w:rsidRDefault="008C6573" w:rsidP="005C799B">
      <w:pPr>
        <w:pStyle w:val="BodyText"/>
        <w:rPr>
          <w:sz w:val="22"/>
          <w:szCs w:val="22"/>
        </w:rPr>
      </w:pPr>
    </w:p>
    <w:p w14:paraId="378906DE" w14:textId="77777777" w:rsidR="009441C4" w:rsidRPr="00CA6F56" w:rsidRDefault="0016052F" w:rsidP="005C799B">
      <w:pPr>
        <w:pStyle w:val="BodyText"/>
        <w:rPr>
          <w:b/>
          <w:bCs/>
          <w:sz w:val="22"/>
          <w:szCs w:val="22"/>
        </w:rPr>
      </w:pPr>
      <w:r w:rsidRPr="00CA6F56">
        <w:rPr>
          <w:b/>
          <w:bCs/>
          <w:sz w:val="22"/>
          <w:szCs w:val="22"/>
        </w:rPr>
        <w:t>MEDIA CONTACT</w:t>
      </w:r>
    </w:p>
    <w:p w14:paraId="1ED934F6" w14:textId="35C322EB" w:rsidR="00576BDA" w:rsidRPr="00CA6F56" w:rsidRDefault="000A70D2" w:rsidP="00576BDA">
      <w:pPr>
        <w:pStyle w:val="BodyText"/>
        <w:rPr>
          <w:sz w:val="22"/>
          <w:szCs w:val="22"/>
        </w:rPr>
      </w:pPr>
      <w:r w:rsidRPr="00CA6F56">
        <w:rPr>
          <w:sz w:val="22"/>
          <w:szCs w:val="22"/>
        </w:rPr>
        <w:t>Sergio Alcubilla</w:t>
      </w:r>
      <w:r w:rsidR="00576BDA" w:rsidRPr="00CA6F56">
        <w:rPr>
          <w:sz w:val="22"/>
          <w:szCs w:val="22"/>
        </w:rPr>
        <w:t xml:space="preserve">, </w:t>
      </w:r>
      <w:r w:rsidRPr="00CA6F56">
        <w:rPr>
          <w:sz w:val="22"/>
          <w:szCs w:val="22"/>
        </w:rPr>
        <w:t>Community Engagement</w:t>
      </w:r>
      <w:r w:rsidR="00725DF2" w:rsidRPr="00CA6F56">
        <w:rPr>
          <w:sz w:val="22"/>
          <w:szCs w:val="22"/>
        </w:rPr>
        <w:t xml:space="preserve"> Director</w:t>
      </w:r>
      <w:r w:rsidR="00576BDA" w:rsidRPr="00CA6F56">
        <w:rPr>
          <w:sz w:val="22"/>
          <w:szCs w:val="22"/>
        </w:rPr>
        <w:t xml:space="preserve">, </w:t>
      </w:r>
      <w:r w:rsidRPr="00CA6F56">
        <w:rPr>
          <w:sz w:val="22"/>
          <w:szCs w:val="22"/>
        </w:rPr>
        <w:t>808-371-4805</w:t>
      </w:r>
    </w:p>
    <w:p w14:paraId="0DD191B2" w14:textId="77777777" w:rsidR="009441C4" w:rsidRPr="00CA6F56" w:rsidRDefault="009441C4" w:rsidP="005C799B">
      <w:pPr>
        <w:pStyle w:val="BodyText"/>
        <w:rPr>
          <w:sz w:val="22"/>
          <w:szCs w:val="22"/>
        </w:rPr>
      </w:pPr>
    </w:p>
    <w:p w14:paraId="20E232B7" w14:textId="648D58CB" w:rsidR="00D27E5F" w:rsidRPr="00CA6F56" w:rsidRDefault="6AF9099A" w:rsidP="000A70D2">
      <w:pPr>
        <w:jc w:val="center"/>
        <w:rPr>
          <w:rFonts w:ascii="PT Serif" w:eastAsia="Georgia Pro" w:hAnsi="PT Serif" w:cs="Georgia Pro"/>
          <w:b/>
          <w:bCs/>
          <w:sz w:val="22"/>
          <w:szCs w:val="22"/>
        </w:rPr>
      </w:pPr>
      <w:r w:rsidRPr="00CA6F56">
        <w:rPr>
          <w:rFonts w:ascii="PT Serif" w:eastAsia="Georgia Pro" w:hAnsi="PT Serif" w:cs="Georgia Pro"/>
          <w:b/>
          <w:bCs/>
          <w:sz w:val="22"/>
          <w:szCs w:val="22"/>
        </w:rPr>
        <w:t>Hawai</w:t>
      </w:r>
      <w:r w:rsidRPr="00CA6F56">
        <w:rPr>
          <w:rFonts w:eastAsia="Georgia Pro"/>
          <w:b/>
          <w:bCs/>
          <w:sz w:val="22"/>
          <w:szCs w:val="22"/>
        </w:rPr>
        <w:t>ʻ</w:t>
      </w:r>
      <w:r w:rsidRPr="00CA6F56">
        <w:rPr>
          <w:rFonts w:ascii="PT Serif" w:eastAsia="Georgia Pro" w:hAnsi="PT Serif" w:cs="Georgia Pro"/>
          <w:b/>
          <w:bCs/>
          <w:sz w:val="22"/>
          <w:szCs w:val="22"/>
        </w:rPr>
        <w:t xml:space="preserve">i </w:t>
      </w:r>
      <w:r w:rsidR="000A70D2" w:rsidRPr="00CA6F56">
        <w:rPr>
          <w:rFonts w:ascii="PT Serif" w:eastAsia="Georgia Pro" w:hAnsi="PT Serif" w:cs="Georgia Pro"/>
          <w:b/>
          <w:bCs/>
          <w:sz w:val="22"/>
          <w:szCs w:val="22"/>
        </w:rPr>
        <w:t xml:space="preserve">Federal Court Rules that FDA’s Restrictions on </w:t>
      </w:r>
    </w:p>
    <w:p w14:paraId="074822B7" w14:textId="10AEE70A" w:rsidR="000A70D2" w:rsidRPr="00CA6F56" w:rsidRDefault="000A70D2" w:rsidP="000A70D2">
      <w:pPr>
        <w:jc w:val="center"/>
        <w:rPr>
          <w:rFonts w:ascii="PT Serif" w:eastAsia="Georgia Pro" w:hAnsi="PT Serif" w:cs="Georgia Pro"/>
          <w:b/>
          <w:bCs/>
          <w:sz w:val="22"/>
          <w:szCs w:val="22"/>
        </w:rPr>
      </w:pPr>
      <w:r w:rsidRPr="00CA6F56">
        <w:rPr>
          <w:rFonts w:ascii="PT Serif" w:eastAsia="Georgia Pro" w:hAnsi="PT Serif" w:cs="Georgia Pro"/>
          <w:b/>
          <w:bCs/>
          <w:sz w:val="22"/>
          <w:szCs w:val="22"/>
        </w:rPr>
        <w:t>Medication Abortion are Unlawful</w:t>
      </w:r>
    </w:p>
    <w:p w14:paraId="0F9A0260" w14:textId="77777777" w:rsidR="00F26AF0" w:rsidRPr="00CA6F56" w:rsidRDefault="00F26AF0" w:rsidP="00F26AF0">
      <w:pPr>
        <w:pStyle w:val="Heading1"/>
        <w:ind w:left="0" w:firstLine="0"/>
        <w:jc w:val="center"/>
        <w:rPr>
          <w:sz w:val="22"/>
          <w:szCs w:val="22"/>
        </w:rPr>
      </w:pPr>
    </w:p>
    <w:p w14:paraId="24CEDF46" w14:textId="65CD3CC2" w:rsidR="00B95130" w:rsidRPr="00CA6F56" w:rsidRDefault="00B95130" w:rsidP="00D27E5F">
      <w:pPr>
        <w:jc w:val="both"/>
        <w:rPr>
          <w:rFonts w:ascii="PT Serif" w:eastAsia="Georgia Pro" w:hAnsi="PT Serif" w:cs="Georgia Pro"/>
          <w:sz w:val="22"/>
          <w:szCs w:val="22"/>
        </w:rPr>
      </w:pPr>
      <w:r w:rsidRPr="00CA6F56">
        <w:rPr>
          <w:rFonts w:ascii="PT Serif" w:eastAsia="Georgia Pro" w:hAnsi="PT Serif" w:cs="Georgia Pro"/>
          <w:sz w:val="22"/>
          <w:szCs w:val="22"/>
        </w:rPr>
        <w:t>HONOLULU</w:t>
      </w:r>
      <w:r w:rsidR="000A70D2" w:rsidRPr="00CA6F56">
        <w:rPr>
          <w:rFonts w:ascii="PT Serif" w:eastAsia="Georgia Pro" w:hAnsi="PT Serif" w:cs="Georgia Pro"/>
          <w:sz w:val="22"/>
          <w:szCs w:val="22"/>
        </w:rPr>
        <w:t xml:space="preserve">, HI </w:t>
      </w:r>
      <w:r w:rsidRPr="00CA6F56">
        <w:rPr>
          <w:rFonts w:ascii="PT Serif" w:eastAsia="Georgia Pro" w:hAnsi="PT Serif" w:cs="Georgia Pro"/>
          <w:sz w:val="22"/>
          <w:szCs w:val="22"/>
        </w:rPr>
        <w:t xml:space="preserve">— </w:t>
      </w:r>
      <w:r w:rsidR="00725DF2" w:rsidRPr="00CA6F56">
        <w:rPr>
          <w:rFonts w:ascii="PT Serif" w:eastAsia="Georgia Pro" w:hAnsi="PT Serif" w:cs="Georgia Pro"/>
          <w:sz w:val="22"/>
          <w:szCs w:val="22"/>
        </w:rPr>
        <w:t xml:space="preserve">U.S. District Judge Jill Otake </w:t>
      </w:r>
      <w:r w:rsidR="275A3750" w:rsidRPr="00CA6F56">
        <w:rPr>
          <w:rFonts w:ascii="PT Serif" w:eastAsia="Georgia Pro" w:hAnsi="PT Serif" w:cs="Georgia Pro"/>
          <w:sz w:val="22"/>
          <w:szCs w:val="22"/>
        </w:rPr>
        <w:t>held</w:t>
      </w:r>
      <w:r w:rsidR="08AB5971" w:rsidRPr="00CA6F56">
        <w:rPr>
          <w:rFonts w:ascii="PT Serif" w:eastAsia="Georgia Pro" w:hAnsi="PT Serif" w:cs="Georgia Pro"/>
          <w:sz w:val="22"/>
          <w:szCs w:val="22"/>
        </w:rPr>
        <w:t>,</w:t>
      </w:r>
      <w:r w:rsidR="00A76665" w:rsidRPr="00CA6F56">
        <w:rPr>
          <w:rFonts w:ascii="PT Serif" w:eastAsia="Georgia Pro" w:hAnsi="PT Serif" w:cs="Georgia Pro"/>
          <w:sz w:val="22"/>
          <w:szCs w:val="22"/>
        </w:rPr>
        <w:t xml:space="preserve"> in </w:t>
      </w:r>
      <w:r w:rsidR="009C098B" w:rsidRPr="00CA6F56">
        <w:rPr>
          <w:rFonts w:ascii="PT Serif" w:eastAsia="Georgia Pro" w:hAnsi="PT Serif" w:cs="Georgia Pro"/>
          <w:sz w:val="22"/>
          <w:szCs w:val="22"/>
        </w:rPr>
        <w:t xml:space="preserve">an </w:t>
      </w:r>
      <w:r w:rsidR="00A76665" w:rsidRPr="00CA6F56">
        <w:rPr>
          <w:rFonts w:ascii="PT Serif" w:eastAsia="Georgia Pro" w:hAnsi="PT Serif" w:cs="Georgia Pro"/>
          <w:sz w:val="22"/>
          <w:szCs w:val="22"/>
        </w:rPr>
        <w:t>October 30</w:t>
      </w:r>
      <w:r w:rsidR="00725DF2" w:rsidRPr="00CA6F56">
        <w:rPr>
          <w:rFonts w:ascii="PT Serif" w:eastAsia="Georgia Pro" w:hAnsi="PT Serif" w:cs="Georgia Pro"/>
          <w:sz w:val="22"/>
          <w:szCs w:val="22"/>
        </w:rPr>
        <w:t xml:space="preserve"> </w:t>
      </w:r>
      <w:hyperlink r:id="rId7">
        <w:r w:rsidR="00725DF2" w:rsidRPr="00CA6F56">
          <w:rPr>
            <w:rStyle w:val="Hyperlink"/>
            <w:rFonts w:ascii="PT Serif" w:eastAsia="Georgia Pro" w:hAnsi="PT Serif" w:cs="Georgia Pro"/>
            <w:sz w:val="22"/>
            <w:szCs w:val="22"/>
          </w:rPr>
          <w:t>ruling</w:t>
        </w:r>
      </w:hyperlink>
      <w:r w:rsidR="56B3873A" w:rsidRPr="00CA6F56">
        <w:rPr>
          <w:rFonts w:ascii="PT Serif" w:eastAsia="Georgia Pro" w:hAnsi="PT Serif" w:cs="Georgia Pro"/>
          <w:sz w:val="22"/>
          <w:szCs w:val="22"/>
        </w:rPr>
        <w:t>,</w:t>
      </w:r>
      <w:r w:rsidR="00725DF2" w:rsidRPr="00CA6F56">
        <w:rPr>
          <w:rFonts w:ascii="PT Serif" w:eastAsia="Georgia Pro" w:hAnsi="PT Serif" w:cs="Georgia Pro"/>
          <w:sz w:val="22"/>
          <w:szCs w:val="22"/>
        </w:rPr>
        <w:t xml:space="preserve"> </w:t>
      </w:r>
      <w:r w:rsidRPr="00CA6F56">
        <w:rPr>
          <w:rFonts w:ascii="PT Serif" w:eastAsia="Georgia Pro" w:hAnsi="PT Serif" w:cs="Georgia Pro"/>
          <w:sz w:val="22"/>
          <w:szCs w:val="22"/>
        </w:rPr>
        <w:t xml:space="preserve">that the Food and Drug Administration’s (FDA) imposition of medically unnecessary restrictions on the medication abortion pill mifepristone violated federal law. While this ruling does not change patients’ ability to access medication abortion in the near term, it affirms the FDA’s legal obligation to consider the overwhelming evidence of mifepristone’s safety and not to impose restrictions that unduly burden patient access to this essential medication. </w:t>
      </w:r>
    </w:p>
    <w:p w14:paraId="65A2CC23" w14:textId="77777777" w:rsidR="00725DF2" w:rsidRPr="00CA6F56" w:rsidRDefault="00725DF2" w:rsidP="00D27E5F">
      <w:pPr>
        <w:jc w:val="both"/>
        <w:rPr>
          <w:rFonts w:ascii="PT Serif" w:eastAsia="Georgia Pro" w:hAnsi="PT Serif" w:cs="Georgia Pro"/>
          <w:sz w:val="22"/>
          <w:szCs w:val="22"/>
        </w:rPr>
      </w:pPr>
    </w:p>
    <w:p w14:paraId="54DD98C9" w14:textId="1EF709D2" w:rsidR="00725DF2" w:rsidRPr="00CA6F56" w:rsidRDefault="00725DF2" w:rsidP="00D27E5F">
      <w:pPr>
        <w:jc w:val="both"/>
        <w:rPr>
          <w:rFonts w:ascii="PT Serif" w:eastAsia="Georgia Pro" w:hAnsi="PT Serif" w:cs="Georgia Pro"/>
          <w:sz w:val="22"/>
          <w:szCs w:val="22"/>
          <w:lang w:val="haw-US"/>
        </w:rPr>
      </w:pPr>
      <w:r w:rsidRPr="00CA6F56">
        <w:rPr>
          <w:rFonts w:ascii="PT Serif" w:eastAsia="Georgia Pro" w:hAnsi="PT Serif" w:cs="Georgia Pro"/>
          <w:b/>
          <w:bCs/>
          <w:sz w:val="22"/>
          <w:szCs w:val="22"/>
        </w:rPr>
        <w:t>Wookie Kim, ACLU of Hawai</w:t>
      </w:r>
      <w:r w:rsidRPr="00CA6F56">
        <w:rPr>
          <w:rFonts w:eastAsia="Georgia Pro"/>
          <w:b/>
          <w:bCs/>
          <w:sz w:val="22"/>
          <w:szCs w:val="22"/>
          <w:lang w:val="haw-US"/>
        </w:rPr>
        <w:t>ʻ</w:t>
      </w:r>
      <w:r w:rsidRPr="00CA6F56">
        <w:rPr>
          <w:rFonts w:ascii="PT Serif" w:eastAsia="Georgia Pro" w:hAnsi="PT Serif" w:cs="Georgia Pro"/>
          <w:b/>
          <w:bCs/>
          <w:sz w:val="22"/>
          <w:szCs w:val="22"/>
          <w:lang w:val="haw-US"/>
        </w:rPr>
        <w:t>i Legal Director</w:t>
      </w:r>
      <w:r w:rsidRPr="00CA6F56">
        <w:rPr>
          <w:rFonts w:ascii="PT Serif" w:eastAsia="Georgia Pro" w:hAnsi="PT Serif" w:cs="Georgia Pro"/>
          <w:sz w:val="22"/>
          <w:szCs w:val="22"/>
          <w:lang w:val="haw-US"/>
        </w:rPr>
        <w:t xml:space="preserve"> who served as co-counsel in the case </w:t>
      </w:r>
      <w:r w:rsidR="00A76665" w:rsidRPr="00CA6F56">
        <w:rPr>
          <w:rFonts w:ascii="PT Serif" w:eastAsia="Georgia Pro" w:hAnsi="PT Serif" w:cs="Georgia Pro"/>
          <w:sz w:val="22"/>
          <w:szCs w:val="22"/>
          <w:lang w:val="haw-US"/>
        </w:rPr>
        <w:t xml:space="preserve">shared, </w:t>
      </w:r>
      <w:r w:rsidRPr="00CA6F56">
        <w:rPr>
          <w:rFonts w:ascii="PT Serif" w:eastAsia="Georgia Pro" w:hAnsi="PT Serif" w:cs="Georgia Pro"/>
          <w:sz w:val="22"/>
          <w:szCs w:val="22"/>
          <w:lang w:val="haw-US"/>
        </w:rPr>
        <w:t>“</w:t>
      </w:r>
      <w:r w:rsidRPr="00CA6F56">
        <w:rPr>
          <w:rFonts w:ascii="PT Serif" w:hAnsi="PT Serif"/>
          <w:sz w:val="22"/>
          <w:szCs w:val="22"/>
        </w:rPr>
        <w:t>We are grateful the Court held FDA accountable for failing to follow the law in restricting access to medication abortion. This ruling has special meaning here in Hawai</w:t>
      </w:r>
      <w:r w:rsidRPr="00CA6F56">
        <w:rPr>
          <w:sz w:val="22"/>
          <w:szCs w:val="22"/>
        </w:rPr>
        <w:t>ʻ</w:t>
      </w:r>
      <w:r w:rsidRPr="00CA6F56">
        <w:rPr>
          <w:rFonts w:ascii="PT Serif" w:hAnsi="PT Serif"/>
          <w:sz w:val="22"/>
          <w:szCs w:val="22"/>
        </w:rPr>
        <w:t>i, where patients often face geographic and financial barriers that make accessing reproductive care especially difficult. It also affirms that decisions about reproductive freedom must be guided by science, not politics.</w:t>
      </w:r>
      <w:r w:rsidR="00A76665" w:rsidRPr="00CA6F56">
        <w:rPr>
          <w:rFonts w:ascii="PT Serif" w:hAnsi="PT Serif"/>
          <w:sz w:val="22"/>
          <w:szCs w:val="22"/>
        </w:rPr>
        <w:t>”</w:t>
      </w:r>
    </w:p>
    <w:p w14:paraId="1D517687" w14:textId="77777777" w:rsidR="000A70D2" w:rsidRPr="00CA6F56" w:rsidRDefault="000A70D2" w:rsidP="00D27E5F">
      <w:pPr>
        <w:jc w:val="both"/>
        <w:rPr>
          <w:rFonts w:ascii="PT Serif" w:eastAsia="Georgia Pro" w:hAnsi="PT Serif" w:cs="Georgia Pro"/>
          <w:sz w:val="22"/>
          <w:szCs w:val="22"/>
        </w:rPr>
      </w:pPr>
    </w:p>
    <w:p w14:paraId="0B0C0028" w14:textId="77777777" w:rsidR="00425A8F" w:rsidRPr="00CA6F56" w:rsidRDefault="00425A8F" w:rsidP="00425A8F">
      <w:pPr>
        <w:jc w:val="both"/>
        <w:rPr>
          <w:rFonts w:ascii="PT Serif" w:eastAsia="Georgia Pro" w:hAnsi="PT Serif" w:cs="Georgia Pro"/>
          <w:sz w:val="22"/>
          <w:szCs w:val="22"/>
        </w:rPr>
      </w:pPr>
      <w:r w:rsidRPr="00CA6F56">
        <w:rPr>
          <w:rFonts w:ascii="PT Serif" w:eastAsia="Georgia Pro" w:hAnsi="PT Serif" w:cs="Georgia Pro"/>
          <w:sz w:val="22"/>
          <w:szCs w:val="22"/>
        </w:rPr>
        <w:t xml:space="preserve">The court's finding that the agency failed to justify its restrictions on access to mifepristone comes as the Trump administration appears to be gearing up to make it even harder for people to get the medication nationwide. </w:t>
      </w:r>
    </w:p>
    <w:p w14:paraId="0B3416BC" w14:textId="77777777" w:rsidR="00425A8F" w:rsidRPr="00CA6F56" w:rsidRDefault="00425A8F" w:rsidP="00425A8F">
      <w:pPr>
        <w:jc w:val="both"/>
        <w:rPr>
          <w:rFonts w:ascii="PT Serif" w:eastAsia="Georgia Pro" w:hAnsi="PT Serif" w:cs="Georgia Pro"/>
          <w:sz w:val="22"/>
          <w:szCs w:val="22"/>
        </w:rPr>
      </w:pPr>
    </w:p>
    <w:p w14:paraId="6B411E19" w14:textId="09AFFA34" w:rsidR="00B95130" w:rsidRPr="00CA6F56" w:rsidRDefault="00B95130" w:rsidP="00D27E5F">
      <w:pPr>
        <w:jc w:val="both"/>
        <w:rPr>
          <w:rFonts w:ascii="PT Serif" w:eastAsia="Georgia Pro" w:hAnsi="PT Serif" w:cs="Georgia Pro"/>
          <w:color w:val="000000" w:themeColor="text1"/>
          <w:sz w:val="22"/>
          <w:szCs w:val="22"/>
        </w:rPr>
      </w:pPr>
      <w:r w:rsidRPr="00CA6F56">
        <w:rPr>
          <w:rFonts w:ascii="PT Serif" w:eastAsia="Georgia Pro" w:hAnsi="PT Serif" w:cs="Georgia Pro"/>
          <w:sz w:val="22"/>
          <w:szCs w:val="22"/>
        </w:rPr>
        <w:t xml:space="preserve">Earlier this year, the Trump administration announced that the FDA is conducting a new review of its mifepristone regulations. Secretary Kennedy has indicated that the review centers </w:t>
      </w:r>
      <w:r w:rsidRPr="00CA6F56">
        <w:rPr>
          <w:rFonts w:ascii="PT Serif" w:eastAsia="Georgia Pro" w:hAnsi="PT Serif" w:cs="Georgia Pro"/>
          <w:color w:val="000000" w:themeColor="text1"/>
          <w:sz w:val="22"/>
          <w:szCs w:val="22"/>
        </w:rPr>
        <w:t xml:space="preserve">on </w:t>
      </w:r>
      <w:r w:rsidR="00425A8F" w:rsidRPr="00CA6F56">
        <w:rPr>
          <w:rFonts w:ascii="PT Serif" w:eastAsia="Georgia Pro" w:hAnsi="PT Serif" w:cs="Georgia Pro"/>
          <w:color w:val="000000" w:themeColor="text1"/>
          <w:sz w:val="22"/>
          <w:szCs w:val="22"/>
        </w:rPr>
        <w:t>a</w:t>
      </w:r>
      <w:r w:rsidRPr="00CA6F56">
        <w:rPr>
          <w:rFonts w:ascii="PT Serif" w:eastAsia="Georgia Pro" w:hAnsi="PT Serif" w:cs="Georgia Pro"/>
          <w:color w:val="000000" w:themeColor="text1"/>
          <w:sz w:val="22"/>
          <w:szCs w:val="22"/>
        </w:rPr>
        <w:t xml:space="preserve"> six-page, non-peer-reviewed </w:t>
      </w:r>
      <w:r w:rsidR="00425A8F" w:rsidRPr="00CA6F56">
        <w:rPr>
          <w:rFonts w:ascii="PT Serif" w:eastAsia="Georgia Pro" w:hAnsi="PT Serif" w:cs="Georgia Pro"/>
          <w:color w:val="000000" w:themeColor="text1"/>
          <w:sz w:val="22"/>
          <w:szCs w:val="22"/>
        </w:rPr>
        <w:t xml:space="preserve">paper </w:t>
      </w:r>
      <w:r w:rsidRPr="00CA6F56">
        <w:rPr>
          <w:rFonts w:ascii="PT Serif" w:eastAsia="Georgia Pro" w:hAnsi="PT Serif" w:cs="Georgia Pro"/>
          <w:color w:val="000000" w:themeColor="text1"/>
          <w:sz w:val="22"/>
          <w:szCs w:val="22"/>
        </w:rPr>
        <w:t xml:space="preserve">that has been </w:t>
      </w:r>
      <w:hyperlink r:id="rId8">
        <w:r w:rsidRPr="00CA6F56">
          <w:rPr>
            <w:rStyle w:val="Hyperlink"/>
            <w:rFonts w:ascii="PT Serif" w:eastAsia="Georgia" w:hAnsi="PT Serif" w:cs="Georgia"/>
            <w:sz w:val="22"/>
            <w:szCs w:val="22"/>
          </w:rPr>
          <w:t>denounced by more than 260 expert researchers</w:t>
        </w:r>
      </w:hyperlink>
      <w:r w:rsidRPr="00CA6F56">
        <w:rPr>
          <w:rFonts w:ascii="PT Serif" w:eastAsia="Georgia Pro" w:hAnsi="PT Serif" w:cs="Georgia Pro"/>
          <w:color w:val="000000" w:themeColor="text1"/>
          <w:sz w:val="22"/>
          <w:szCs w:val="22"/>
        </w:rPr>
        <w:t xml:space="preserve"> for its lack of transparency and gravely flawed methodology. </w:t>
      </w:r>
      <w:r w:rsidR="00A76665" w:rsidRPr="00CA6F56">
        <w:rPr>
          <w:rFonts w:ascii="PT Serif" w:eastAsia="Georgia Pro" w:hAnsi="PT Serif" w:cs="Georgia Pro"/>
          <w:color w:val="000000" w:themeColor="text1"/>
          <w:sz w:val="22"/>
          <w:szCs w:val="22"/>
        </w:rPr>
        <w:t xml:space="preserve">In a </w:t>
      </w:r>
      <w:hyperlink r:id="rId9">
        <w:r w:rsidRPr="00CA6F56">
          <w:rPr>
            <w:rStyle w:val="Hyperlink"/>
            <w:rFonts w:ascii="PT Serif" w:eastAsia="Georgia" w:hAnsi="PT Serif" w:cs="Georgia"/>
            <w:sz w:val="22"/>
            <w:szCs w:val="22"/>
          </w:rPr>
          <w:t>letter</w:t>
        </w:r>
      </w:hyperlink>
      <w:r w:rsidRPr="00CA6F56">
        <w:rPr>
          <w:rFonts w:ascii="PT Serif" w:eastAsia="Georgia Pro" w:hAnsi="PT Serif" w:cs="Georgia Pro"/>
          <w:color w:val="000000" w:themeColor="text1"/>
          <w:sz w:val="22"/>
          <w:szCs w:val="22"/>
        </w:rPr>
        <w:t xml:space="preserve"> to anti-abortion state attorneys general on Sept. 19, 2025, Secretary Kennedy doubled down on the publication’s importance, citing this propaganda as a “recent stud[y] raising concerns about the safety of mifepristone as currently administered.”</w:t>
      </w:r>
    </w:p>
    <w:p w14:paraId="0EFCFF48" w14:textId="77777777" w:rsidR="000A70D2" w:rsidRPr="00CA6F56" w:rsidRDefault="000A70D2" w:rsidP="00D27E5F">
      <w:pPr>
        <w:jc w:val="both"/>
        <w:rPr>
          <w:rFonts w:ascii="PT Serif" w:eastAsia="Georgia Pro" w:hAnsi="PT Serif" w:cs="Georgia Pro"/>
          <w:sz w:val="22"/>
          <w:szCs w:val="22"/>
        </w:rPr>
      </w:pPr>
    </w:p>
    <w:p w14:paraId="3C2C9CE5" w14:textId="70B19925" w:rsidR="00B95130" w:rsidRPr="00CA6F56" w:rsidRDefault="00425A8F" w:rsidP="00D27E5F">
      <w:pPr>
        <w:jc w:val="both"/>
        <w:rPr>
          <w:rFonts w:ascii="PT Serif" w:eastAsia="Georgia Pro" w:hAnsi="PT Serif" w:cs="Georgia Pro"/>
          <w:sz w:val="22"/>
          <w:szCs w:val="22"/>
        </w:rPr>
      </w:pPr>
      <w:r w:rsidRPr="00CA6F56">
        <w:rPr>
          <w:rFonts w:ascii="PT Serif" w:eastAsia="Georgia Pro" w:hAnsi="PT Serif" w:cs="Georgia Pro"/>
          <w:sz w:val="22"/>
          <w:szCs w:val="22"/>
        </w:rPr>
        <w:t>Instead, u</w:t>
      </w:r>
      <w:r w:rsidR="00B95130" w:rsidRPr="00CA6F56">
        <w:rPr>
          <w:rFonts w:ascii="PT Serif" w:eastAsia="Georgia Pro" w:hAnsi="PT Serif" w:cs="Georgia Pro"/>
          <w:sz w:val="22"/>
          <w:szCs w:val="22"/>
        </w:rPr>
        <w:t xml:space="preserve">nder </w:t>
      </w:r>
      <w:r w:rsidR="1816B23A" w:rsidRPr="00CA6F56">
        <w:rPr>
          <w:rFonts w:ascii="PT Serif" w:eastAsia="Georgia Pro" w:hAnsi="PT Serif" w:cs="Georgia Pro"/>
          <w:sz w:val="22"/>
          <w:szCs w:val="22"/>
        </w:rPr>
        <w:t xml:space="preserve">yesterday’s </w:t>
      </w:r>
      <w:r w:rsidR="00B95130" w:rsidRPr="00CA6F56">
        <w:rPr>
          <w:rFonts w:ascii="PT Serif" w:eastAsia="Georgia Pro" w:hAnsi="PT Serif" w:cs="Georgia Pro"/>
          <w:sz w:val="22"/>
          <w:szCs w:val="22"/>
        </w:rPr>
        <w:t xml:space="preserve">ruling, the FDA will need to consider the wealth of peer-reviewed evidence proving mifepristone’s safety, including when delivered by telemedicine, as well as how FDA’s restrictions burden patient access. The court’s findings on the FDA’s scientific and legal obligations stand in stark contrast to Secretary Kennedy’s </w:t>
      </w:r>
      <w:hyperlink r:id="rId10">
        <w:r w:rsidR="00B95130" w:rsidRPr="00CA6F56">
          <w:rPr>
            <w:rStyle w:val="Hyperlink"/>
            <w:rFonts w:ascii="PT Serif" w:eastAsia="Georgia Pro" w:hAnsi="PT Serif" w:cs="Georgia Pro"/>
            <w:sz w:val="22"/>
            <w:szCs w:val="22"/>
          </w:rPr>
          <w:t>statement</w:t>
        </w:r>
      </w:hyperlink>
      <w:r w:rsidR="00B95130" w:rsidRPr="00CA6F56">
        <w:rPr>
          <w:rFonts w:ascii="PT Serif" w:eastAsia="Georgia Pro" w:hAnsi="PT Serif" w:cs="Georgia Pro"/>
          <w:sz w:val="22"/>
          <w:szCs w:val="22"/>
        </w:rPr>
        <w:t xml:space="preserve"> that the ultimate decision about the FDA’s mifepristone policy will “go through the White House, through President Trump.”</w:t>
      </w:r>
    </w:p>
    <w:p w14:paraId="3DF1AF36" w14:textId="77777777" w:rsidR="000A70D2" w:rsidRPr="00CA6F56" w:rsidRDefault="000A70D2" w:rsidP="00D27E5F">
      <w:pPr>
        <w:jc w:val="both"/>
        <w:rPr>
          <w:rFonts w:ascii="PT Serif" w:eastAsia="Georgia Pro" w:hAnsi="PT Serif" w:cs="Georgia Pro"/>
          <w:sz w:val="22"/>
          <w:szCs w:val="22"/>
        </w:rPr>
      </w:pPr>
    </w:p>
    <w:p w14:paraId="168BC1C1" w14:textId="4BDB2F99" w:rsidR="00B95130" w:rsidRPr="00CA6F56" w:rsidRDefault="00B95130" w:rsidP="00D27E5F">
      <w:pPr>
        <w:jc w:val="both"/>
        <w:rPr>
          <w:rFonts w:ascii="PT Serif" w:eastAsia="Georgia Pro" w:hAnsi="PT Serif" w:cs="Georgia Pro"/>
          <w:b/>
          <w:bCs/>
          <w:sz w:val="22"/>
          <w:szCs w:val="22"/>
        </w:rPr>
      </w:pPr>
      <w:r w:rsidRPr="00CA6F56">
        <w:rPr>
          <w:rFonts w:ascii="PT Serif" w:eastAsia="Georgia Pro" w:hAnsi="PT Serif" w:cs="Georgia Pro"/>
          <w:sz w:val="22"/>
          <w:szCs w:val="22"/>
        </w:rPr>
        <w:lastRenderedPageBreak/>
        <w:t>“Despite decades of real-world experience and mountains of evidence proving mifepristone’s safety, the FDA regulates this medication more heavily than 99 percent of prescription drugs. Now, Secretary Kennedy is using more junk science to lay the groundwork for making it even harder to get a medication abortion. Today’s decision is a crucial reminder that the courts and the medical community won’t sit by while the Trump administration trashes our healthcare and our reproductive freedoms</w:t>
      </w:r>
      <w:r w:rsidR="00A76665" w:rsidRPr="00CA6F56">
        <w:rPr>
          <w:rFonts w:ascii="PT Serif" w:eastAsia="Georgia Pro" w:hAnsi="PT Serif" w:cs="Georgia Pro"/>
          <w:sz w:val="22"/>
          <w:szCs w:val="22"/>
        </w:rPr>
        <w:t>,” said</w:t>
      </w:r>
      <w:r w:rsidR="00A76665" w:rsidRPr="00CA6F56">
        <w:rPr>
          <w:rFonts w:ascii="PT Serif" w:eastAsia="Georgia Pro" w:hAnsi="PT Serif" w:cs="Georgia Pro"/>
          <w:b/>
          <w:bCs/>
          <w:sz w:val="22"/>
          <w:szCs w:val="22"/>
        </w:rPr>
        <w:t xml:space="preserve"> Julia Kaye, senior staff attorney with the ACLU Reproductive Freedom Project</w:t>
      </w:r>
    </w:p>
    <w:p w14:paraId="44971E07" w14:textId="77777777" w:rsidR="00A76665" w:rsidRPr="00CA6F56" w:rsidRDefault="00A76665" w:rsidP="00D27E5F">
      <w:pPr>
        <w:jc w:val="both"/>
        <w:rPr>
          <w:rFonts w:ascii="PT Serif" w:eastAsia="Georgia Pro" w:hAnsi="PT Serif" w:cs="Georgia Pro"/>
          <w:b/>
          <w:bCs/>
          <w:sz w:val="22"/>
          <w:szCs w:val="22"/>
        </w:rPr>
      </w:pPr>
    </w:p>
    <w:p w14:paraId="4E2F70BA" w14:textId="25AB5318" w:rsidR="00A76665" w:rsidRPr="00CA6F56" w:rsidRDefault="00A76665" w:rsidP="00D27E5F">
      <w:pPr>
        <w:jc w:val="both"/>
        <w:rPr>
          <w:rFonts w:ascii="PT Serif" w:hAnsi="PT Serif"/>
          <w:sz w:val="22"/>
          <w:szCs w:val="22"/>
        </w:rPr>
      </w:pPr>
      <w:r w:rsidRPr="00CA6F56">
        <w:rPr>
          <w:rFonts w:ascii="PT Serif" w:hAnsi="PT Serif"/>
          <w:sz w:val="22"/>
          <w:szCs w:val="22"/>
        </w:rPr>
        <w:t xml:space="preserve">“This decision is a victory, not only for reproductive freedom, but for science over paternalism, shared </w:t>
      </w:r>
      <w:r w:rsidRPr="00CA6F56">
        <w:rPr>
          <w:rFonts w:ascii="PT Serif" w:hAnsi="PT Serif"/>
          <w:b/>
          <w:bCs/>
          <w:sz w:val="22"/>
          <w:szCs w:val="22"/>
        </w:rPr>
        <w:t>Emily Hills, senior staff attorney at the ACLU of H</w:t>
      </w:r>
      <w:r w:rsidR="00425A8F" w:rsidRPr="00CA6F56">
        <w:rPr>
          <w:rFonts w:ascii="PT Serif" w:hAnsi="PT Serif"/>
          <w:b/>
          <w:bCs/>
          <w:sz w:val="22"/>
          <w:szCs w:val="22"/>
        </w:rPr>
        <w:t>awai</w:t>
      </w:r>
      <w:r w:rsidR="00425A8F" w:rsidRPr="00CA6F56">
        <w:rPr>
          <w:b/>
          <w:bCs/>
          <w:sz w:val="22"/>
          <w:szCs w:val="22"/>
        </w:rPr>
        <w:t>ʻ</w:t>
      </w:r>
      <w:r w:rsidR="00425A8F" w:rsidRPr="00CA6F56">
        <w:rPr>
          <w:rFonts w:ascii="PT Serif" w:hAnsi="PT Serif"/>
          <w:b/>
          <w:bCs/>
          <w:sz w:val="22"/>
          <w:szCs w:val="22"/>
        </w:rPr>
        <w:t>i</w:t>
      </w:r>
      <w:r w:rsidRPr="00CA6F56">
        <w:rPr>
          <w:rFonts w:ascii="PT Serif" w:hAnsi="PT Serif"/>
          <w:sz w:val="22"/>
          <w:szCs w:val="22"/>
        </w:rPr>
        <w:t>. “Evidence and decades of experience have shown that mifepristone is no more dangerous than many other prescription medications that are less heavily regulated. The Court rightly rejected the FDA's "informational gerrymandering" and “unexplained logical leaps” to conclude that the FDA’s burdensome regulation of mifepristone was unlawful.”</w:t>
      </w:r>
    </w:p>
    <w:p w14:paraId="3D4F7B29" w14:textId="77777777" w:rsidR="000A70D2" w:rsidRPr="00CA6F56" w:rsidRDefault="000A70D2" w:rsidP="00D27E5F">
      <w:pPr>
        <w:jc w:val="both"/>
        <w:rPr>
          <w:rFonts w:ascii="PT Serif" w:eastAsia="Georgia Pro" w:hAnsi="PT Serif" w:cs="Georgia Pro"/>
          <w:color w:val="000000" w:themeColor="text1"/>
          <w:sz w:val="22"/>
          <w:szCs w:val="22"/>
        </w:rPr>
      </w:pPr>
    </w:p>
    <w:p w14:paraId="16942770" w14:textId="77777777" w:rsidR="00B95130" w:rsidRPr="00CA6F56" w:rsidRDefault="00B95130" w:rsidP="00D27E5F">
      <w:pPr>
        <w:jc w:val="both"/>
        <w:rPr>
          <w:rFonts w:ascii="PT Serif" w:eastAsia="Georgia Pro" w:hAnsi="PT Serif" w:cs="Georgia Pro"/>
          <w:sz w:val="22"/>
          <w:szCs w:val="22"/>
        </w:rPr>
      </w:pPr>
      <w:r w:rsidRPr="00CA6F56">
        <w:rPr>
          <w:rFonts w:ascii="PT Serif" w:eastAsia="Georgia Pro" w:hAnsi="PT Serif" w:cs="Georgia Pro"/>
          <w:sz w:val="22"/>
          <w:szCs w:val="22"/>
        </w:rPr>
        <w:t xml:space="preserve">For over a decade, medical authorities and reproductive health experts have advocated for lifting the FDA’s medically unnecessary restrictions on mifepristone. The American Civil Liberties Union first filed this case, </w:t>
      </w:r>
      <w:r w:rsidRPr="00CA6F56">
        <w:rPr>
          <w:rFonts w:ascii="PT Serif" w:eastAsia="Georgia Pro" w:hAnsi="PT Serif" w:cs="Georgia Pro"/>
          <w:i/>
          <w:iCs/>
          <w:sz w:val="22"/>
          <w:szCs w:val="22"/>
        </w:rPr>
        <w:t xml:space="preserve">Purcell v. Kennedy </w:t>
      </w:r>
      <w:r w:rsidRPr="00CA6F56">
        <w:rPr>
          <w:rFonts w:ascii="PT Serif" w:eastAsia="Georgia Pro" w:hAnsi="PT Serif" w:cs="Georgia Pro"/>
          <w:sz w:val="22"/>
          <w:szCs w:val="22"/>
        </w:rPr>
        <w:t xml:space="preserve">(formerly </w:t>
      </w:r>
      <w:r w:rsidRPr="00CA6F56">
        <w:rPr>
          <w:rFonts w:ascii="PT Serif" w:eastAsia="Georgia Pro" w:hAnsi="PT Serif" w:cs="Georgia Pro"/>
          <w:i/>
          <w:iCs/>
          <w:sz w:val="22"/>
          <w:szCs w:val="22"/>
        </w:rPr>
        <w:t>Chelius v. Becerra</w:t>
      </w:r>
      <w:r w:rsidRPr="00CA6F56">
        <w:rPr>
          <w:rFonts w:ascii="PT Serif" w:eastAsia="Georgia Pro" w:hAnsi="PT Serif" w:cs="Georgia Pro"/>
          <w:sz w:val="22"/>
          <w:szCs w:val="22"/>
        </w:rPr>
        <w:t xml:space="preserve">) on behalf of preeminent health care associations and an individual family medicine doctor in 2017. </w:t>
      </w:r>
    </w:p>
    <w:p w14:paraId="650A593A" w14:textId="77777777" w:rsidR="00725DF2" w:rsidRPr="00CA6F56" w:rsidRDefault="00725DF2" w:rsidP="00D27E5F">
      <w:pPr>
        <w:jc w:val="both"/>
        <w:rPr>
          <w:rFonts w:ascii="PT Serif" w:eastAsia="Georgia Pro" w:hAnsi="PT Serif" w:cs="Georgia Pro"/>
          <w:sz w:val="22"/>
          <w:szCs w:val="22"/>
        </w:rPr>
      </w:pPr>
    </w:p>
    <w:p w14:paraId="4CB9AE0E" w14:textId="63D16696" w:rsidR="00B95130" w:rsidRPr="00CA6F56" w:rsidRDefault="00B95130" w:rsidP="00D27E5F">
      <w:pPr>
        <w:jc w:val="both"/>
        <w:rPr>
          <w:rFonts w:ascii="PT Serif" w:eastAsia="Georgia Pro" w:hAnsi="PT Serif" w:cs="Georgia Pro"/>
          <w:sz w:val="22"/>
          <w:szCs w:val="22"/>
        </w:rPr>
      </w:pPr>
      <w:r w:rsidRPr="00CA6F56">
        <w:rPr>
          <w:rFonts w:ascii="PT Serif" w:eastAsia="Georgia Pro" w:hAnsi="PT Serif" w:cs="Georgia Pro"/>
          <w:sz w:val="22"/>
          <w:szCs w:val="22"/>
        </w:rPr>
        <w:t xml:space="preserve">In 2021, this litigation </w:t>
      </w:r>
      <w:hyperlink r:id="rId11">
        <w:r w:rsidRPr="00CA6F56">
          <w:rPr>
            <w:rStyle w:val="Hyperlink"/>
            <w:rFonts w:ascii="PT Serif" w:eastAsia="Georgia Pro" w:hAnsi="PT Serif" w:cs="Georgia Pro"/>
            <w:sz w:val="22"/>
            <w:szCs w:val="22"/>
          </w:rPr>
          <w:t>prompted</w:t>
        </w:r>
      </w:hyperlink>
      <w:r w:rsidRPr="00CA6F56">
        <w:rPr>
          <w:rFonts w:ascii="PT Serif" w:eastAsia="Georgia Pro" w:hAnsi="PT Serif" w:cs="Georgia Pro"/>
          <w:sz w:val="22"/>
          <w:szCs w:val="22"/>
        </w:rPr>
        <w:t xml:space="preserve"> the FDA to reconsider its in-person dispensing requirement for mifepristone in light of the significant evidence that mifepristone is just as safe when dispensed through a pharmacy and that the in-person requirement severely burdened patient access. While the FDA suspended and then formally eliminated its telemedicine restrictions for mifepristone, it continued to single out mifepristone prescribers, pharmacists, and patients with medically unnecessary restrictions that severely limit patients’ ability to access medication abortion.  </w:t>
      </w:r>
    </w:p>
    <w:p w14:paraId="7D189802" w14:textId="77777777" w:rsidR="00425A8F" w:rsidRPr="00CA6F56" w:rsidRDefault="00425A8F" w:rsidP="00D27E5F">
      <w:pPr>
        <w:jc w:val="both"/>
        <w:rPr>
          <w:rFonts w:ascii="PT Serif" w:eastAsia="Georgia Pro" w:hAnsi="PT Serif" w:cs="Georgia Pro"/>
          <w:sz w:val="22"/>
          <w:szCs w:val="22"/>
        </w:rPr>
      </w:pPr>
    </w:p>
    <w:p w14:paraId="2E64AC33" w14:textId="579DD822" w:rsidR="00425A8F" w:rsidRPr="00CA6F56" w:rsidRDefault="00425A8F" w:rsidP="00D27E5F">
      <w:pPr>
        <w:jc w:val="both"/>
        <w:rPr>
          <w:rFonts w:ascii="PT Serif" w:eastAsia="Georgia Pro" w:hAnsi="PT Serif" w:cs="Georgia Pro"/>
          <w:color w:val="000000" w:themeColor="text1"/>
          <w:sz w:val="22"/>
          <w:szCs w:val="22"/>
        </w:rPr>
      </w:pPr>
      <w:r w:rsidRPr="00CA6F56">
        <w:rPr>
          <w:rFonts w:ascii="PT Serif" w:eastAsia="Georgia Pro" w:hAnsi="PT Serif" w:cs="Georgia Pro"/>
          <w:color w:val="000000" w:themeColor="text1"/>
          <w:sz w:val="22"/>
          <w:szCs w:val="22"/>
        </w:rPr>
        <w:t xml:space="preserve">“I am pleased the Court recognized that the FDA’s extreme restrictions on mifepristone are not grounded in logic or science. But while this decision should be a call to action for FDA to finally lift its medically unjustified restrictions on medication abortion, I fear the Trump Administration is gearing up to make things worse,” said </w:t>
      </w:r>
      <w:r w:rsidRPr="00CA6F56">
        <w:rPr>
          <w:rFonts w:ascii="PT Serif" w:eastAsia="Georgia Pro" w:hAnsi="PT Serif" w:cs="Georgia Pro"/>
          <w:b/>
          <w:bCs/>
          <w:color w:val="000000" w:themeColor="text1"/>
          <w:sz w:val="22"/>
          <w:szCs w:val="22"/>
        </w:rPr>
        <w:t>Heidi Purcell, M.D.</w:t>
      </w:r>
      <w:r w:rsidRPr="00CA6F56">
        <w:rPr>
          <w:rFonts w:ascii="PT Serif" w:eastAsia="Georgia Pro" w:hAnsi="PT Serif" w:cs="Georgia Pro"/>
          <w:color w:val="000000" w:themeColor="text1"/>
          <w:sz w:val="22"/>
          <w:szCs w:val="22"/>
        </w:rPr>
        <w:t xml:space="preserve"> “In the Hawaiian islands, where patients may live a flight away from the nearest provider, losing a telemedicine option for mifepristone would be devastating. The FDA should be working to ensure that patients in rural and underserved areas like Hawai</w:t>
      </w:r>
      <w:r w:rsidR="00E37529" w:rsidRPr="00CA6F56">
        <w:rPr>
          <w:rFonts w:eastAsia="Georgia Pro"/>
          <w:color w:val="000000" w:themeColor="text1"/>
          <w:sz w:val="22"/>
          <w:szCs w:val="22"/>
        </w:rPr>
        <w:t>ʻ</w:t>
      </w:r>
      <w:r w:rsidR="00E37529" w:rsidRPr="00CA6F56">
        <w:rPr>
          <w:rFonts w:ascii="PT Serif" w:eastAsia="Georgia Pro" w:hAnsi="PT Serif" w:cs="Georgia Pro"/>
          <w:color w:val="000000" w:themeColor="text1"/>
          <w:sz w:val="22"/>
          <w:szCs w:val="22"/>
        </w:rPr>
        <w:t>i</w:t>
      </w:r>
      <w:r w:rsidRPr="00CA6F56">
        <w:rPr>
          <w:rFonts w:ascii="PT Serif" w:eastAsia="Georgia Pro" w:hAnsi="PT Serif" w:cs="Georgia Pro"/>
          <w:color w:val="000000" w:themeColor="text1"/>
          <w:sz w:val="22"/>
          <w:szCs w:val="22"/>
        </w:rPr>
        <w:t xml:space="preserve"> can access essential medications, not throwing up needless barriers to care.”</w:t>
      </w:r>
    </w:p>
    <w:p w14:paraId="06398977" w14:textId="77777777" w:rsidR="00725DF2" w:rsidRPr="00CA6F56" w:rsidRDefault="00725DF2" w:rsidP="00D27E5F">
      <w:pPr>
        <w:jc w:val="both"/>
        <w:rPr>
          <w:rFonts w:ascii="PT Serif" w:eastAsia="Georgia Pro" w:hAnsi="PT Serif" w:cs="Georgia Pro"/>
          <w:sz w:val="22"/>
          <w:szCs w:val="22"/>
        </w:rPr>
      </w:pPr>
    </w:p>
    <w:p w14:paraId="22A3ECE2" w14:textId="3C4391C9" w:rsidR="00055DAA" w:rsidRPr="00CA6F56" w:rsidRDefault="00B95130" w:rsidP="00CA6F56">
      <w:pPr>
        <w:jc w:val="both"/>
        <w:rPr>
          <w:rFonts w:ascii="PT Serif" w:eastAsia="Georgia Pro" w:hAnsi="PT Serif" w:cs="Georgia Pro"/>
          <w:sz w:val="22"/>
          <w:szCs w:val="22"/>
        </w:rPr>
      </w:pPr>
      <w:r w:rsidRPr="00CA6F56">
        <w:rPr>
          <w:rFonts w:ascii="PT Serif" w:eastAsia="Georgia Pro" w:hAnsi="PT Serif" w:cs="Georgia Pro"/>
          <w:sz w:val="22"/>
          <w:szCs w:val="22"/>
        </w:rPr>
        <w:t xml:space="preserve">Even as medical experts continue to fight against these burdensome restrictions, anti-abortion state attorneys general are in </w:t>
      </w:r>
      <w:hyperlink r:id="rId12" w:history="1">
        <w:r w:rsidRPr="00CA6F56">
          <w:rPr>
            <w:rStyle w:val="Hyperlink"/>
            <w:rFonts w:ascii="PT Serif" w:eastAsia="Georgia Pro" w:hAnsi="PT Serif" w:cs="Georgia Pro"/>
            <w:sz w:val="22"/>
            <w:szCs w:val="22"/>
          </w:rPr>
          <w:t>multiple</w:t>
        </w:r>
      </w:hyperlink>
      <w:r w:rsidRPr="00CA6F56">
        <w:rPr>
          <w:rFonts w:ascii="PT Serif" w:eastAsia="Georgia Pro" w:hAnsi="PT Serif" w:cs="Georgia Pro"/>
          <w:sz w:val="22"/>
          <w:szCs w:val="22"/>
        </w:rPr>
        <w:t xml:space="preserve"> </w:t>
      </w:r>
      <w:hyperlink r:id="rId13" w:history="1">
        <w:r w:rsidRPr="00CA6F56">
          <w:rPr>
            <w:rStyle w:val="Hyperlink"/>
            <w:rFonts w:ascii="PT Serif" w:eastAsia="Georgia Pro" w:hAnsi="PT Serif" w:cs="Georgia Pro"/>
            <w:sz w:val="22"/>
            <w:szCs w:val="22"/>
          </w:rPr>
          <w:t>federal courts</w:t>
        </w:r>
      </w:hyperlink>
      <w:r w:rsidRPr="00CA6F56">
        <w:rPr>
          <w:rFonts w:ascii="PT Serif" w:eastAsia="Georgia Pro" w:hAnsi="PT Serif" w:cs="Georgia Pro"/>
          <w:sz w:val="22"/>
          <w:szCs w:val="22"/>
        </w:rPr>
        <w:t xml:space="preserve"> seeking even greater</w:t>
      </w:r>
      <w:r w:rsidRPr="00CA6F56">
        <w:rPr>
          <w:rFonts w:ascii="PT Serif" w:eastAsia="Georgia Pro" w:hAnsi="PT Serif" w:cs="Georgia Pro"/>
          <w:i/>
          <w:iCs/>
          <w:sz w:val="22"/>
          <w:szCs w:val="22"/>
        </w:rPr>
        <w:t xml:space="preserve"> </w:t>
      </w:r>
      <w:r w:rsidRPr="00CA6F56">
        <w:rPr>
          <w:rFonts w:ascii="PT Serif" w:eastAsia="Georgia Pro" w:hAnsi="PT Serif" w:cs="Georgia Pro"/>
          <w:sz w:val="22"/>
          <w:szCs w:val="22"/>
        </w:rPr>
        <w:t>restrictions on medication abortion. If the FDA’s mifepristone regulations are made more stringent, whether through court order or Trump administration policy changes, access to abortion will be further out of reach for patients across the nation</w:t>
      </w:r>
      <w:r w:rsidR="00A76665" w:rsidRPr="00CA6F56">
        <w:rPr>
          <w:rFonts w:ascii="PT Serif" w:eastAsia="Georgia Pro" w:hAnsi="PT Serif" w:cs="Georgia Pro"/>
          <w:sz w:val="22"/>
          <w:szCs w:val="22"/>
        </w:rPr>
        <w:t>.</w:t>
      </w:r>
    </w:p>
    <w:p w14:paraId="2204A5E7" w14:textId="28BF336C" w:rsidR="00425A8F" w:rsidRPr="00CA6F56" w:rsidRDefault="00C12064" w:rsidP="00CA6F56">
      <w:pPr>
        <w:pStyle w:val="BodyText"/>
        <w:ind w:firstLine="720"/>
        <w:jc w:val="center"/>
        <w:rPr>
          <w:sz w:val="22"/>
          <w:szCs w:val="22"/>
        </w:rPr>
      </w:pPr>
      <w:r w:rsidRPr="00CA6F56">
        <w:rPr>
          <w:sz w:val="22"/>
          <w:szCs w:val="22"/>
        </w:rPr>
        <w:t>###</w:t>
      </w:r>
    </w:p>
    <w:p w14:paraId="44D9540A" w14:textId="77777777" w:rsidR="00425A8F" w:rsidRPr="00CA6F56" w:rsidRDefault="00425A8F" w:rsidP="00E82658">
      <w:pPr>
        <w:pBdr>
          <w:bottom w:val="thinThickThinMediumGap" w:sz="18" w:space="1" w:color="auto"/>
        </w:pBdr>
        <w:rPr>
          <w:rFonts w:ascii="PT Serif" w:hAnsi="PT Serif"/>
          <w:sz w:val="22"/>
          <w:szCs w:val="22"/>
        </w:rPr>
      </w:pPr>
    </w:p>
    <w:p w14:paraId="32ED0CB3" w14:textId="77777777" w:rsidR="009441C4" w:rsidRPr="00CA6F56" w:rsidRDefault="00634844" w:rsidP="00CA6F56">
      <w:pPr>
        <w:pStyle w:val="BodyText"/>
        <w:ind w:right="14"/>
        <w:rPr>
          <w:i/>
          <w:sz w:val="18"/>
          <w:szCs w:val="18"/>
        </w:rPr>
      </w:pPr>
      <w:r w:rsidRPr="00CA6F56">
        <w:rPr>
          <w:i/>
          <w:iCs/>
          <w:sz w:val="18"/>
          <w:szCs w:val="18"/>
        </w:rPr>
        <w:t>The mission of the Hawai‘i affiliate of the ACLU is to protect the civil liberties contained in the state and federal constitutions through litigation, legislati</w:t>
      </w:r>
      <w:r w:rsidR="00080B73" w:rsidRPr="00CA6F56">
        <w:rPr>
          <w:i/>
          <w:iCs/>
          <w:sz w:val="18"/>
          <w:szCs w:val="18"/>
        </w:rPr>
        <w:t>on</w:t>
      </w:r>
      <w:r w:rsidRPr="00CA6F56">
        <w:rPr>
          <w:i/>
          <w:iCs/>
          <w:sz w:val="18"/>
          <w:szCs w:val="18"/>
        </w:rPr>
        <w:t>, and public education programs. The ACLU is funded primarily through private donations and offers its services at no cost to the public. The ACLU does not accept any government funds.</w:t>
      </w:r>
      <w:r w:rsidR="00BE3F9A" w:rsidRPr="00CA6F56">
        <w:rPr>
          <w:i/>
          <w:iCs/>
          <w:sz w:val="18"/>
          <w:szCs w:val="18"/>
        </w:rPr>
        <w:t xml:space="preserve"> Donate to ACLU-HI </w:t>
      </w:r>
      <w:hyperlink r:id="rId14" w:history="1">
        <w:r w:rsidR="00BE3F9A" w:rsidRPr="00CA6F56">
          <w:rPr>
            <w:rStyle w:val="Hyperlink"/>
            <w:i/>
            <w:iCs/>
            <w:sz w:val="18"/>
            <w:szCs w:val="18"/>
          </w:rPr>
          <w:t>here</w:t>
        </w:r>
      </w:hyperlink>
      <w:r w:rsidR="00BE3F9A" w:rsidRPr="00CA6F56">
        <w:rPr>
          <w:i/>
          <w:iCs/>
          <w:sz w:val="18"/>
          <w:szCs w:val="18"/>
        </w:rPr>
        <w:t>.</w:t>
      </w:r>
    </w:p>
    <w:sectPr w:rsidR="009441C4" w:rsidRPr="00CA6F56">
      <w:footerReference w:type="even" r:id="rId15"/>
      <w:footerReference w:type="default" r:id="rId16"/>
      <w:pgSz w:w="12240" w:h="15840"/>
      <w:pgMar w:top="1360" w:right="1340" w:bottom="1080" w:left="1340" w:header="0"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4B2C" w14:textId="77777777" w:rsidR="00AF4F74" w:rsidRDefault="00AF4F74">
      <w:r>
        <w:separator/>
      </w:r>
    </w:p>
  </w:endnote>
  <w:endnote w:type="continuationSeparator" w:id="0">
    <w:p w14:paraId="04497D5B" w14:textId="77777777" w:rsidR="00AF4F74" w:rsidRDefault="00AF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Arial"/>
    <w:panose1 w:val="020A0603040505020204"/>
    <w:charset w:val="4D"/>
    <w:family w:val="roman"/>
    <w:pitch w:val="variable"/>
    <w:sig w:usb0="A00002EF" w:usb1="5000204B" w:usb2="00000000" w:usb3="00000000" w:csb0="00000097" w:csb1="00000000"/>
  </w:font>
  <w:font w:name="GT America">
    <w:altName w:val="Calibri"/>
    <w:panose1 w:val="020B0604020202020204"/>
    <w:charset w:val="4D"/>
    <w:family w:val="auto"/>
    <w:pitch w:val="variable"/>
    <w:sig w:usb0="00000007" w:usb1="00000000" w:usb2="00000000" w:usb3="00000000" w:csb0="00000093" w:csb1="00000000"/>
  </w:font>
  <w:font w:name="Georgia Pro">
    <w:panose1 w:val="02040502050405020303"/>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158999"/>
      <w:docPartObj>
        <w:docPartGallery w:val="Page Numbers (Bottom of Page)"/>
        <w:docPartUnique/>
      </w:docPartObj>
    </w:sdtPr>
    <w:sdtContent>
      <w:p w14:paraId="6693544F" w14:textId="77777777" w:rsidR="00E223E7" w:rsidRDefault="00E223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6574E" w14:textId="77777777" w:rsidR="00E223E7" w:rsidRDefault="00E22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4449593"/>
      <w:docPartObj>
        <w:docPartGallery w:val="Page Numbers (Bottom of Page)"/>
        <w:docPartUnique/>
      </w:docPartObj>
    </w:sdtPr>
    <w:sdtContent>
      <w:p w14:paraId="75A39C7D" w14:textId="77777777" w:rsidR="00E223E7" w:rsidRDefault="00E223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B77062" w14:textId="77777777" w:rsidR="003D21D7" w:rsidRPr="003D21D7" w:rsidRDefault="003D21D7" w:rsidP="003D21D7">
    <w:pPr>
      <w:pStyle w:val="BodyText"/>
      <w:ind w:right="14"/>
      <w:rPr>
        <w:rFonts w:ascii="GT America" w:hAnsi="GT Americ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F524" w14:textId="77777777" w:rsidR="00AF4F74" w:rsidRDefault="00AF4F74">
      <w:r>
        <w:separator/>
      </w:r>
    </w:p>
  </w:footnote>
  <w:footnote w:type="continuationSeparator" w:id="0">
    <w:p w14:paraId="21865E22" w14:textId="77777777" w:rsidR="00AF4F74" w:rsidRDefault="00AF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30"/>
    <w:rsid w:val="00004E5A"/>
    <w:rsid w:val="00021078"/>
    <w:rsid w:val="00052E31"/>
    <w:rsid w:val="000553C6"/>
    <w:rsid w:val="00055DAA"/>
    <w:rsid w:val="00080B73"/>
    <w:rsid w:val="000846D0"/>
    <w:rsid w:val="000917B3"/>
    <w:rsid w:val="0009714C"/>
    <w:rsid w:val="000A70D2"/>
    <w:rsid w:val="000B30F5"/>
    <w:rsid w:val="000B33BA"/>
    <w:rsid w:val="000C0F54"/>
    <w:rsid w:val="000C2E86"/>
    <w:rsid w:val="000C394A"/>
    <w:rsid w:val="00116131"/>
    <w:rsid w:val="00117035"/>
    <w:rsid w:val="00122E8B"/>
    <w:rsid w:val="00123C19"/>
    <w:rsid w:val="00137656"/>
    <w:rsid w:val="00150325"/>
    <w:rsid w:val="0016052F"/>
    <w:rsid w:val="001606BB"/>
    <w:rsid w:val="00194731"/>
    <w:rsid w:val="001A3C7C"/>
    <w:rsid w:val="001A4F6F"/>
    <w:rsid w:val="001C0942"/>
    <w:rsid w:val="001E3CBA"/>
    <w:rsid w:val="001F7085"/>
    <w:rsid w:val="0020350A"/>
    <w:rsid w:val="00220F86"/>
    <w:rsid w:val="0023126F"/>
    <w:rsid w:val="0024249E"/>
    <w:rsid w:val="00281AF8"/>
    <w:rsid w:val="002B6740"/>
    <w:rsid w:val="002D5AA4"/>
    <w:rsid w:val="002E71DD"/>
    <w:rsid w:val="00305427"/>
    <w:rsid w:val="00322851"/>
    <w:rsid w:val="00324380"/>
    <w:rsid w:val="003357E9"/>
    <w:rsid w:val="00337BA0"/>
    <w:rsid w:val="00355AE5"/>
    <w:rsid w:val="00361AC2"/>
    <w:rsid w:val="00373F5F"/>
    <w:rsid w:val="003A5C4B"/>
    <w:rsid w:val="003D21D7"/>
    <w:rsid w:val="003D63D0"/>
    <w:rsid w:val="003E19A8"/>
    <w:rsid w:val="00403239"/>
    <w:rsid w:val="004115F0"/>
    <w:rsid w:val="0041300A"/>
    <w:rsid w:val="00425A8F"/>
    <w:rsid w:val="00436626"/>
    <w:rsid w:val="004612A1"/>
    <w:rsid w:val="004619F0"/>
    <w:rsid w:val="00462CC9"/>
    <w:rsid w:val="00482F66"/>
    <w:rsid w:val="00486825"/>
    <w:rsid w:val="004D2C09"/>
    <w:rsid w:val="004D6E9A"/>
    <w:rsid w:val="004E0467"/>
    <w:rsid w:val="004E5F02"/>
    <w:rsid w:val="004F1C12"/>
    <w:rsid w:val="004F3349"/>
    <w:rsid w:val="00522F5B"/>
    <w:rsid w:val="0052685F"/>
    <w:rsid w:val="00561013"/>
    <w:rsid w:val="0057467E"/>
    <w:rsid w:val="00576BDA"/>
    <w:rsid w:val="005847D5"/>
    <w:rsid w:val="005922B5"/>
    <w:rsid w:val="00596FD1"/>
    <w:rsid w:val="005A6E62"/>
    <w:rsid w:val="005A79A7"/>
    <w:rsid w:val="005C799B"/>
    <w:rsid w:val="005D14E2"/>
    <w:rsid w:val="005E442C"/>
    <w:rsid w:val="005F5A4E"/>
    <w:rsid w:val="0060381B"/>
    <w:rsid w:val="00603F0C"/>
    <w:rsid w:val="00612FBC"/>
    <w:rsid w:val="00617D56"/>
    <w:rsid w:val="00634844"/>
    <w:rsid w:val="00642E5B"/>
    <w:rsid w:val="006525FE"/>
    <w:rsid w:val="00654629"/>
    <w:rsid w:val="006573A6"/>
    <w:rsid w:val="0067323C"/>
    <w:rsid w:val="0069092F"/>
    <w:rsid w:val="00692DBB"/>
    <w:rsid w:val="00693691"/>
    <w:rsid w:val="0069453E"/>
    <w:rsid w:val="006A1BF0"/>
    <w:rsid w:val="006A7340"/>
    <w:rsid w:val="006A7C53"/>
    <w:rsid w:val="006C0D3E"/>
    <w:rsid w:val="006C37E5"/>
    <w:rsid w:val="006C5A7A"/>
    <w:rsid w:val="00702E83"/>
    <w:rsid w:val="00723923"/>
    <w:rsid w:val="00725DF2"/>
    <w:rsid w:val="00727DED"/>
    <w:rsid w:val="00732AE1"/>
    <w:rsid w:val="007339C3"/>
    <w:rsid w:val="00733A59"/>
    <w:rsid w:val="00750DB7"/>
    <w:rsid w:val="00762451"/>
    <w:rsid w:val="00790A53"/>
    <w:rsid w:val="00797F97"/>
    <w:rsid w:val="007B461A"/>
    <w:rsid w:val="007B7AAB"/>
    <w:rsid w:val="007C2610"/>
    <w:rsid w:val="007C6654"/>
    <w:rsid w:val="007D20E7"/>
    <w:rsid w:val="007F4AEA"/>
    <w:rsid w:val="00814CDB"/>
    <w:rsid w:val="00824431"/>
    <w:rsid w:val="00830B65"/>
    <w:rsid w:val="00847A72"/>
    <w:rsid w:val="00847C1C"/>
    <w:rsid w:val="008516A8"/>
    <w:rsid w:val="008B5982"/>
    <w:rsid w:val="008C5037"/>
    <w:rsid w:val="008C6573"/>
    <w:rsid w:val="008D7028"/>
    <w:rsid w:val="008E07A5"/>
    <w:rsid w:val="008E501E"/>
    <w:rsid w:val="008F1471"/>
    <w:rsid w:val="008F2AA8"/>
    <w:rsid w:val="00904EDF"/>
    <w:rsid w:val="00921223"/>
    <w:rsid w:val="0093779D"/>
    <w:rsid w:val="009441C4"/>
    <w:rsid w:val="0095319E"/>
    <w:rsid w:val="00965B4B"/>
    <w:rsid w:val="009819FB"/>
    <w:rsid w:val="0098224E"/>
    <w:rsid w:val="009A19AA"/>
    <w:rsid w:val="009A421F"/>
    <w:rsid w:val="009B5792"/>
    <w:rsid w:val="009B5F8E"/>
    <w:rsid w:val="009C098B"/>
    <w:rsid w:val="009D3F47"/>
    <w:rsid w:val="00A07A51"/>
    <w:rsid w:val="00A106F5"/>
    <w:rsid w:val="00A11D17"/>
    <w:rsid w:val="00A327D1"/>
    <w:rsid w:val="00A36BFB"/>
    <w:rsid w:val="00A4718A"/>
    <w:rsid w:val="00A61298"/>
    <w:rsid w:val="00A71E4F"/>
    <w:rsid w:val="00A76665"/>
    <w:rsid w:val="00A87221"/>
    <w:rsid w:val="00AA02C9"/>
    <w:rsid w:val="00AA3528"/>
    <w:rsid w:val="00AB387E"/>
    <w:rsid w:val="00AB523B"/>
    <w:rsid w:val="00AC40A2"/>
    <w:rsid w:val="00AD197C"/>
    <w:rsid w:val="00AD4618"/>
    <w:rsid w:val="00AE056C"/>
    <w:rsid w:val="00AF4F74"/>
    <w:rsid w:val="00AF6EAC"/>
    <w:rsid w:val="00AF7292"/>
    <w:rsid w:val="00B00138"/>
    <w:rsid w:val="00B02067"/>
    <w:rsid w:val="00B13B04"/>
    <w:rsid w:val="00B22255"/>
    <w:rsid w:val="00B27570"/>
    <w:rsid w:val="00B31350"/>
    <w:rsid w:val="00B34896"/>
    <w:rsid w:val="00B704BD"/>
    <w:rsid w:val="00B824F2"/>
    <w:rsid w:val="00B84479"/>
    <w:rsid w:val="00B8481B"/>
    <w:rsid w:val="00B9279B"/>
    <w:rsid w:val="00B93D72"/>
    <w:rsid w:val="00B95130"/>
    <w:rsid w:val="00BB6488"/>
    <w:rsid w:val="00BE0858"/>
    <w:rsid w:val="00BE3F9A"/>
    <w:rsid w:val="00C12064"/>
    <w:rsid w:val="00C51AC0"/>
    <w:rsid w:val="00C910DE"/>
    <w:rsid w:val="00CA6F56"/>
    <w:rsid w:val="00CB6D3A"/>
    <w:rsid w:val="00CD070E"/>
    <w:rsid w:val="00CD3D72"/>
    <w:rsid w:val="00CD6AF0"/>
    <w:rsid w:val="00CF29F0"/>
    <w:rsid w:val="00CF6EAE"/>
    <w:rsid w:val="00D0241D"/>
    <w:rsid w:val="00D047E0"/>
    <w:rsid w:val="00D06278"/>
    <w:rsid w:val="00D1007B"/>
    <w:rsid w:val="00D173E6"/>
    <w:rsid w:val="00D23865"/>
    <w:rsid w:val="00D27E5F"/>
    <w:rsid w:val="00D37F77"/>
    <w:rsid w:val="00DA0ACB"/>
    <w:rsid w:val="00DD2DBF"/>
    <w:rsid w:val="00DD3B4F"/>
    <w:rsid w:val="00DE32FE"/>
    <w:rsid w:val="00E223E7"/>
    <w:rsid w:val="00E24EB5"/>
    <w:rsid w:val="00E357EE"/>
    <w:rsid w:val="00E37529"/>
    <w:rsid w:val="00E4350F"/>
    <w:rsid w:val="00E5083D"/>
    <w:rsid w:val="00E5270B"/>
    <w:rsid w:val="00E82658"/>
    <w:rsid w:val="00E85485"/>
    <w:rsid w:val="00E95E3A"/>
    <w:rsid w:val="00EB6012"/>
    <w:rsid w:val="00EC08B1"/>
    <w:rsid w:val="00EC557D"/>
    <w:rsid w:val="00ED48CF"/>
    <w:rsid w:val="00EE612C"/>
    <w:rsid w:val="00EE645D"/>
    <w:rsid w:val="00F24C31"/>
    <w:rsid w:val="00F267C0"/>
    <w:rsid w:val="00F26AF0"/>
    <w:rsid w:val="00F3319F"/>
    <w:rsid w:val="00F353DB"/>
    <w:rsid w:val="00F4538B"/>
    <w:rsid w:val="00F55277"/>
    <w:rsid w:val="00F55C84"/>
    <w:rsid w:val="00F56F05"/>
    <w:rsid w:val="00F5709B"/>
    <w:rsid w:val="00F65961"/>
    <w:rsid w:val="00F65B39"/>
    <w:rsid w:val="00F65B79"/>
    <w:rsid w:val="00F936AE"/>
    <w:rsid w:val="00F958B0"/>
    <w:rsid w:val="00F96BEA"/>
    <w:rsid w:val="00FB1E27"/>
    <w:rsid w:val="00FD6ADD"/>
    <w:rsid w:val="00FE1F47"/>
    <w:rsid w:val="00FE58F4"/>
    <w:rsid w:val="00FF200C"/>
    <w:rsid w:val="08AB5971"/>
    <w:rsid w:val="08FB220C"/>
    <w:rsid w:val="0DF48344"/>
    <w:rsid w:val="1444A1F1"/>
    <w:rsid w:val="17032ACD"/>
    <w:rsid w:val="1816B23A"/>
    <w:rsid w:val="1BB50739"/>
    <w:rsid w:val="1E553BBA"/>
    <w:rsid w:val="1F8C7573"/>
    <w:rsid w:val="210559A0"/>
    <w:rsid w:val="21EBB0FD"/>
    <w:rsid w:val="247E8328"/>
    <w:rsid w:val="26342CD3"/>
    <w:rsid w:val="275A3750"/>
    <w:rsid w:val="28BC0724"/>
    <w:rsid w:val="2F499835"/>
    <w:rsid w:val="3A0512DD"/>
    <w:rsid w:val="3A900616"/>
    <w:rsid w:val="3D3B13C5"/>
    <w:rsid w:val="4157D6D1"/>
    <w:rsid w:val="483E66F3"/>
    <w:rsid w:val="496199CD"/>
    <w:rsid w:val="56B3873A"/>
    <w:rsid w:val="5E9476B0"/>
    <w:rsid w:val="6A09CD4A"/>
    <w:rsid w:val="6AF9099A"/>
    <w:rsid w:val="6E4DBE27"/>
    <w:rsid w:val="77D03793"/>
    <w:rsid w:val="7B7EDEF2"/>
    <w:rsid w:val="7B98B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7F0C"/>
  <w15:docId w15:val="{BFFA0C20-52DA-4340-817C-026929F6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D0"/>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ind w:left="100" w:hanging="787"/>
      <w:outlineLvl w:val="0"/>
    </w:pPr>
    <w:rPr>
      <w:rFonts w:ascii="PT Serif" w:eastAsia="PT Serif" w:hAnsi="PT Serif" w:cs="PT Serif"/>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PT Serif" w:eastAsia="PT Serif" w:hAnsi="PT Serif" w:cs="PT Serif"/>
      <w:sz w:val="26"/>
      <w:szCs w:val="26"/>
    </w:rPr>
  </w:style>
  <w:style w:type="paragraph" w:styleId="Title">
    <w:name w:val="Title"/>
    <w:basedOn w:val="Normal"/>
    <w:uiPriority w:val="10"/>
    <w:qFormat/>
    <w:pPr>
      <w:widowControl w:val="0"/>
      <w:autoSpaceDE w:val="0"/>
      <w:autoSpaceDN w:val="0"/>
      <w:ind w:left="100"/>
    </w:pPr>
    <w:rPr>
      <w:rFonts w:ascii="GT America" w:eastAsia="GT America" w:hAnsi="GT America" w:cs="GT America"/>
      <w:b/>
      <w:bCs/>
      <w:sz w:val="52"/>
      <w:szCs w:val="52"/>
    </w:rPr>
  </w:style>
  <w:style w:type="paragraph" w:styleId="ListParagraph">
    <w:name w:val="List Paragraph"/>
    <w:basedOn w:val="Normal"/>
    <w:uiPriority w:val="1"/>
    <w:qFormat/>
    <w:pPr>
      <w:widowControl w:val="0"/>
      <w:autoSpaceDE w:val="0"/>
      <w:autoSpaceDN w:val="0"/>
    </w:pPr>
    <w:rPr>
      <w:rFonts w:ascii="PT Serif" w:eastAsia="PT Serif" w:hAnsi="PT Serif" w:cs="PT Serif"/>
      <w:sz w:val="22"/>
      <w:szCs w:val="22"/>
    </w:rPr>
  </w:style>
  <w:style w:type="paragraph" w:customStyle="1" w:styleId="TableParagraph">
    <w:name w:val="Table Paragraph"/>
    <w:basedOn w:val="Normal"/>
    <w:uiPriority w:val="1"/>
    <w:qFormat/>
    <w:pPr>
      <w:widowControl w:val="0"/>
      <w:autoSpaceDE w:val="0"/>
      <w:autoSpaceDN w:val="0"/>
    </w:pPr>
    <w:rPr>
      <w:rFonts w:ascii="PT Serif" w:eastAsia="PT Serif" w:hAnsi="PT Serif" w:cs="PT Serif"/>
      <w:sz w:val="22"/>
      <w:szCs w:val="22"/>
    </w:rPr>
  </w:style>
  <w:style w:type="paragraph" w:styleId="Header">
    <w:name w:val="header"/>
    <w:basedOn w:val="Normal"/>
    <w:link w:val="HeaderChar"/>
    <w:uiPriority w:val="99"/>
    <w:unhideWhenUsed/>
    <w:rsid w:val="00824431"/>
    <w:pPr>
      <w:widowControl w:val="0"/>
      <w:tabs>
        <w:tab w:val="center" w:pos="4680"/>
        <w:tab w:val="right" w:pos="9360"/>
      </w:tabs>
      <w:autoSpaceDE w:val="0"/>
      <w:autoSpaceDN w:val="0"/>
    </w:pPr>
    <w:rPr>
      <w:rFonts w:ascii="PT Serif" w:eastAsia="PT Serif" w:hAnsi="PT Serif" w:cs="PT Serif"/>
      <w:sz w:val="22"/>
      <w:szCs w:val="22"/>
    </w:rPr>
  </w:style>
  <w:style w:type="character" w:customStyle="1" w:styleId="HeaderChar">
    <w:name w:val="Header Char"/>
    <w:basedOn w:val="DefaultParagraphFont"/>
    <w:link w:val="Header"/>
    <w:uiPriority w:val="99"/>
    <w:rsid w:val="00824431"/>
    <w:rPr>
      <w:rFonts w:ascii="PT Serif" w:eastAsia="PT Serif" w:hAnsi="PT Serif" w:cs="PT Serif"/>
    </w:rPr>
  </w:style>
  <w:style w:type="paragraph" w:styleId="Footer">
    <w:name w:val="footer"/>
    <w:basedOn w:val="Normal"/>
    <w:link w:val="FooterChar"/>
    <w:uiPriority w:val="99"/>
    <w:unhideWhenUsed/>
    <w:rsid w:val="00824431"/>
    <w:pPr>
      <w:widowControl w:val="0"/>
      <w:tabs>
        <w:tab w:val="center" w:pos="4680"/>
        <w:tab w:val="right" w:pos="9360"/>
      </w:tabs>
      <w:autoSpaceDE w:val="0"/>
      <w:autoSpaceDN w:val="0"/>
    </w:pPr>
    <w:rPr>
      <w:rFonts w:ascii="PT Serif" w:eastAsia="PT Serif" w:hAnsi="PT Serif" w:cs="PT Serif"/>
      <w:sz w:val="22"/>
      <w:szCs w:val="22"/>
    </w:rPr>
  </w:style>
  <w:style w:type="character" w:customStyle="1" w:styleId="FooterChar">
    <w:name w:val="Footer Char"/>
    <w:basedOn w:val="DefaultParagraphFont"/>
    <w:link w:val="Footer"/>
    <w:uiPriority w:val="99"/>
    <w:rsid w:val="00824431"/>
    <w:rPr>
      <w:rFonts w:ascii="PT Serif" w:eastAsia="PT Serif" w:hAnsi="PT Serif" w:cs="PT Serif"/>
    </w:rPr>
  </w:style>
  <w:style w:type="character" w:styleId="Hyperlink">
    <w:name w:val="Hyperlink"/>
    <w:basedOn w:val="DefaultParagraphFont"/>
    <w:uiPriority w:val="99"/>
    <w:unhideWhenUsed/>
    <w:rsid w:val="00762451"/>
    <w:rPr>
      <w:color w:val="0000FF" w:themeColor="hyperlink"/>
      <w:u w:val="single"/>
    </w:rPr>
  </w:style>
  <w:style w:type="character" w:styleId="UnresolvedMention">
    <w:name w:val="Unresolved Mention"/>
    <w:basedOn w:val="DefaultParagraphFont"/>
    <w:uiPriority w:val="99"/>
    <w:semiHidden/>
    <w:unhideWhenUsed/>
    <w:rsid w:val="00762451"/>
    <w:rPr>
      <w:color w:val="605E5C"/>
      <w:shd w:val="clear" w:color="auto" w:fill="E1DFDD"/>
    </w:rPr>
  </w:style>
  <w:style w:type="character" w:customStyle="1" w:styleId="outlook-search-highlight">
    <w:name w:val="outlook-search-highlight"/>
    <w:basedOn w:val="DefaultParagraphFont"/>
    <w:rsid w:val="003D63D0"/>
  </w:style>
  <w:style w:type="character" w:customStyle="1" w:styleId="apple-converted-space">
    <w:name w:val="apple-converted-space"/>
    <w:basedOn w:val="DefaultParagraphFont"/>
    <w:rsid w:val="003D63D0"/>
  </w:style>
  <w:style w:type="paragraph" w:styleId="Revision">
    <w:name w:val="Revision"/>
    <w:hidden/>
    <w:uiPriority w:val="99"/>
    <w:semiHidden/>
    <w:rsid w:val="00D37F77"/>
    <w:pPr>
      <w:widowControl/>
      <w:autoSpaceDE/>
      <w:autoSpaceDN/>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223E7"/>
  </w:style>
  <w:style w:type="character" w:styleId="FollowedHyperlink">
    <w:name w:val="FollowedHyperlink"/>
    <w:basedOn w:val="DefaultParagraphFont"/>
    <w:uiPriority w:val="99"/>
    <w:semiHidden/>
    <w:unhideWhenUsed/>
    <w:rsid w:val="00725DF2"/>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6847">
      <w:bodyDiv w:val="1"/>
      <w:marLeft w:val="0"/>
      <w:marRight w:val="0"/>
      <w:marTop w:val="0"/>
      <w:marBottom w:val="0"/>
      <w:divBdr>
        <w:top w:val="none" w:sz="0" w:space="0" w:color="auto"/>
        <w:left w:val="none" w:sz="0" w:space="0" w:color="auto"/>
        <w:bottom w:val="none" w:sz="0" w:space="0" w:color="auto"/>
        <w:right w:val="none" w:sz="0" w:space="0" w:color="auto"/>
      </w:divBdr>
    </w:div>
    <w:div w:id="1320957756">
      <w:bodyDiv w:val="1"/>
      <w:marLeft w:val="0"/>
      <w:marRight w:val="0"/>
      <w:marTop w:val="0"/>
      <w:marBottom w:val="0"/>
      <w:divBdr>
        <w:top w:val="none" w:sz="0" w:space="0" w:color="auto"/>
        <w:left w:val="none" w:sz="0" w:space="0" w:color="auto"/>
        <w:bottom w:val="none" w:sz="0" w:space="0" w:color="auto"/>
        <w:right w:val="none" w:sz="0" w:space="0" w:color="auto"/>
      </w:divBdr>
    </w:div>
    <w:div w:id="1998261642">
      <w:bodyDiv w:val="1"/>
      <w:marLeft w:val="0"/>
      <w:marRight w:val="0"/>
      <w:marTop w:val="0"/>
      <w:marBottom w:val="0"/>
      <w:divBdr>
        <w:top w:val="none" w:sz="0" w:space="0" w:color="auto"/>
        <w:left w:val="none" w:sz="0" w:space="0" w:color="auto"/>
        <w:bottom w:val="none" w:sz="0" w:space="0" w:color="auto"/>
        <w:right w:val="none" w:sz="0" w:space="0" w:color="auto"/>
      </w:divBdr>
    </w:div>
    <w:div w:id="2108959863">
      <w:bodyDiv w:val="1"/>
      <w:marLeft w:val="0"/>
      <w:marRight w:val="0"/>
      <w:marTop w:val="0"/>
      <w:marBottom w:val="0"/>
      <w:divBdr>
        <w:top w:val="none" w:sz="0" w:space="0" w:color="auto"/>
        <w:left w:val="none" w:sz="0" w:space="0" w:color="auto"/>
        <w:bottom w:val="none" w:sz="0" w:space="0" w:color="auto"/>
        <w:right w:val="none" w:sz="0" w:space="0" w:color="auto"/>
      </w:divBdr>
    </w:div>
    <w:div w:id="213451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ucla.edu/sites/default/files/PDFs/Center_on_Reproductive_Health/Reproductive%20Health%20Researchers%20Comment%20Letter%20to%20FDA%208.27.25.pdf" TargetMode="External"/><Relationship Id="rId13" Type="http://schemas.openxmlformats.org/officeDocument/2006/relationships/hyperlink" Target="https://lailluminator.com/2025/10/09/fda-abor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ssets.aclu.org/live/uploads/2017/10/2025.10.30-Purcell-v.-Kennedy-Opinion.pdf" TargetMode="External"/><Relationship Id="rId12" Type="http://schemas.openxmlformats.org/officeDocument/2006/relationships/hyperlink" Target="https://www.reuters.com/legal/government/federal-judge-transfers-abortion-pill-lawsuit-missouri-citing-lack-texas-ties-2025-10-0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da.gov/drugs/postmarket-drug-safety-information-patients-and-providers/questions-and-answers-mifepristone-medical-termination-pregnancy-through-ten-weeks-gestatio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aclu.org/press-releases/trump-administration-announces-that-fda-will-consider-imposing-greater-restrictions-on-medication-abortion-nationwide" TargetMode="External"/><Relationship Id="rId4" Type="http://schemas.openxmlformats.org/officeDocument/2006/relationships/footnotes" Target="footnotes.xml"/><Relationship Id="rId9" Type="http://schemas.openxmlformats.org/officeDocument/2006/relationships/hyperlink" Target="https://www.thegatewaypundit.com/2025/09/trump-admin-rfk-jr-moves-address-assess-safety/" TargetMode="External"/><Relationship Id="rId14" Type="http://schemas.openxmlformats.org/officeDocument/2006/relationships/hyperlink" Target="https://action.aclu.org/give/support-aclu-hawaii-found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lcubilla/Desktop/Communication/Press%20Releases/ACLU-HI%20Press%20Release%20Template%20%5bRizvi%2005.27.20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35676e9-2494-4a0f-bf31-4bdea1e91986}" enabled="0" method="" siteId="{735676e9-2494-4a0f-bf31-4bdea1e91986}" removed="1"/>
</clbl:labelList>
</file>

<file path=docProps/app.xml><?xml version="1.0" encoding="utf-8"?>
<Properties xmlns="http://schemas.openxmlformats.org/officeDocument/2006/extended-properties" xmlns:vt="http://schemas.openxmlformats.org/officeDocument/2006/docPropsVTypes">
  <Template>ACLU-HI Press Release Template [Rizvi 05.27.2025].dotx</Template>
  <TotalTime>8</TotalTime>
  <Pages>2</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ACLU HI - Media Release Marriage Equality Advocates Form New Coalition to Change Article 1, Section 23 of Hawaiʻi State Constitution 101623</dc:title>
  <dc:subject/>
  <dc:creator>Sergio Alcubilla</dc:creator>
  <cp:keywords/>
  <cp:lastModifiedBy>Sergio Alcubilla</cp:lastModifiedBy>
  <cp:revision>2</cp:revision>
  <cp:lastPrinted>2024-09-17T14:47:00Z</cp:lastPrinted>
  <dcterms:created xsi:type="dcterms:W3CDTF">2025-10-31T18:11:00Z</dcterms:created>
  <dcterms:modified xsi:type="dcterms:W3CDTF">2025-10-31T18:11:00Z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Pages</vt:lpwstr>
  </property>
  <property fmtid="{D5CDD505-2E9C-101B-9397-08002B2CF9AE}" pid="4" name="LastSaved">
    <vt:filetime>2024-07-01T00:00:00Z</vt:filetime>
  </property>
  <property fmtid="{D5CDD505-2E9C-101B-9397-08002B2CF9AE}" pid="5" name="Producer">
    <vt:lpwstr>macOS Version 13.6.6 (Build 22G630) Quartz PDFContext</vt:lpwstr>
  </property>
</Properties>
</file>